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line="283" w:lineRule="atLeas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Приложение 2</w:t>
      </w:r>
      <w:bookmarkStart w:id="0" w:name="_GoBack"/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right"/>
        <w:spacing w:line="283" w:lineRule="atLeast"/>
        <w:rPr>
          <w:rFonts w:ascii="PT Astra Serif" w:hAnsi="PT Astra Serif" w:cs="PT Astra Serif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center"/>
        <w:spacing w:line="283" w:lineRule="atLeast"/>
        <w:rPr>
          <w:rFonts w:ascii="PT Astra Serif" w:hAnsi="PT Astra Serif" w:cs="PT Astra Serif"/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Информация по второму этапу Конкурса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-108" w:firstLine="709"/>
        <w:keepNext/>
        <w:spacing w:line="283" w:lineRule="atLeast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1"/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spacing w:line="283" w:lineRule="atLeast"/>
        <w:tabs>
          <w:tab w:val="left" w:pos="567" w:leader="none"/>
          <w:tab w:val="left" w:pos="709" w:leader="none"/>
        </w:tabs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К участию в межрегиональном этапе Конкурса допускаются участники, набравшие наибольшее количество баллов и занявшие первые места по каждой номинации в регионах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Сибирского федерального округа </w:t>
      </w:r>
      <w:r>
        <w:rPr>
          <w:rFonts w:ascii="PT Astra Serif" w:hAnsi="PT Astra Serif" w:eastAsia="PT Astra Serif" w:cs="PT Astra Serif"/>
          <w:color w:val="00000a"/>
          <w:sz w:val="28"/>
          <w:szCs w:val="28"/>
        </w:rPr>
        <w:t xml:space="preserve">Российской Федерации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 по итогам регионального этапа. При отказе от участия в межрегиональном этапе какого-либо участника, занявшего первое место в регионе СФО, право участия переходит к участнику, занявшему в рейтинге следующее место.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line="283" w:lineRule="atLeast"/>
        <w:tabs>
          <w:tab w:val="left" w:pos="284" w:leader="none"/>
          <w:tab w:val="left" w:pos="567" w:leader="none"/>
        </w:tabs>
        <w:rPr>
          <w:rFonts w:ascii="PT Astra Serif" w:hAnsi="PT Astra Serif" w:cs="PT Astra Serif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Межрегиональный этап 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пройдет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очно 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на площадке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организации г. Барнаула.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оревнования предусматривают выполнение конкурсных заданий.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line="283" w:lineRule="atLeast"/>
        <w:tabs>
          <w:tab w:val="left" w:pos="284" w:leader="none"/>
          <w:tab w:val="left" w:pos="567" w:leader="none"/>
        </w:tabs>
        <w:rPr>
          <w:rFonts w:ascii="PT Astra Serif" w:hAnsi="PT Astra Serif" w:cs="PT Astra Serif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Задания для участников второго этапа Конкурса не публикуются и являются конфиденциальными. Конверт с заданиями вскрывается во время проведения конкурсного задания.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line="283" w:lineRule="atLeast"/>
        <w:rPr>
          <w:rFonts w:ascii="PT Astra Serif" w:hAnsi="PT Astra Serif" w:eastAsia="PT Astra Serif" w:cs="PT Astra Serif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Задания конкурса могут включать в себя: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firstLine="709"/>
        <w:jc w:val="both"/>
        <w:spacing w:line="283" w:lineRule="atLeast"/>
        <w:rPr>
          <w:rFonts w:ascii="PT Astra Serif" w:hAnsi="PT Astra Serif" w:cs="PT Astra Serif" w:eastAsiaTheme="minorHAnsi"/>
          <w:sz w:val="28"/>
          <w:szCs w:val="28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оценку профессиональных рисков;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line="283" w:lineRule="atLeast"/>
        <w:rPr>
          <w:rFonts w:ascii="PT Astra Serif" w:hAnsi="PT Astra Serif" w:cs="PT Astra Serif" w:eastAsiaTheme="minorHAnsi"/>
          <w:sz w:val="28"/>
          <w:szCs w:val="28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разработку инструкций по охр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ане труда, проведение инструктажа;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line="283" w:lineRule="atLeast"/>
        <w:rPr>
          <w:rFonts w:ascii="PT Astra Serif" w:hAnsi="PT Astra Serif" w:cs="PT Astra Serif" w:eastAsiaTheme="minorHAnsi"/>
          <w:sz w:val="28"/>
          <w:szCs w:val="28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оказание первой помощи пострадавшим при несчастном случае на производстве;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line="283" w:lineRule="atLeast"/>
        <w:rPr>
          <w:rFonts w:ascii="PT Astra Serif" w:hAnsi="PT Astra Serif" w:cs="PT Astra Serif" w:eastAsiaTheme="minorHAnsi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условия труда на рабочем месте;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rFonts w:ascii="PT Astra Serif" w:hAnsi="PT Astra Serif" w:cs="PT Astra Serif" w:eastAsiaTheme="minorHAnsi"/>
          <w:sz w:val="28"/>
          <w:szCs w:val="28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расследование несчастных случаев на производстве;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line="283" w:lineRule="atLeast"/>
        <w:rPr>
          <w:rFonts w:ascii="PT Astra Serif" w:hAnsi="PT Astra Serif" w:cs="PT Astra Serif" w:eastAsiaTheme="minorHAnsi"/>
          <w:sz w:val="28"/>
          <w:szCs w:val="28"/>
          <w:highlight w:val="none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подбор средств индивидуальной защиты для определенной профессии;</w:t>
      </w:r>
      <w:r>
        <w:rPr>
          <w:rFonts w:ascii="PT Astra Serif" w:hAnsi="PT Astra Serif" w:cs="PT Astra Serif" w:eastAsiaTheme="minorHAns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line="283" w:lineRule="atLeast"/>
        <w:rPr>
          <w:rFonts w:ascii="PT Astra Serif" w:hAnsi="PT Astra Serif" w:cs="PT Astra Serif" w:eastAsiaTheme="minorHAnsi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организация работ на высоте и в замкнутых пространствах;</w:t>
      </w:r>
      <w:r>
        <w:rPr>
          <w:rFonts w:ascii="PT Astra Serif" w:hAnsi="PT Astra Serif" w:cs="PT Astra Serif" w:eastAsiaTheme="minorHAnsi"/>
          <w:sz w:val="28"/>
          <w:szCs w:val="28"/>
          <w:highlight w:val="none"/>
        </w:rPr>
      </w:r>
      <w:r>
        <w:rPr>
          <w:rFonts w:ascii="PT Astra Serif" w:hAnsi="PT Astra Serif" w:cs="PT Astra Serif" w:eastAsiaTheme="minorHAnsi"/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rFonts w:ascii="PT Astra Serif" w:hAnsi="PT Astra Serif" w:cs="PT Astra Serif" w:eastAsiaTheme="minorHAnsi"/>
          <w:sz w:val="28"/>
          <w:szCs w:val="28"/>
          <w:lang w:eastAsia="en-US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поведенческий аудит безопасности труда.</w:t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</w:r>
      <w:r>
        <w:rPr>
          <w:rFonts w:ascii="PT Astra Serif" w:hAnsi="PT Astra Serif" w:cs="PT Astra Serif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line="283" w:lineRule="atLeast"/>
        <w:shd w:val="clear" w:color="auto" w:fill="ffffff"/>
        <w:widowControl w:val="off"/>
        <w:tabs>
          <w:tab w:val="left" w:pos="1087" w:leader="none"/>
        </w:tabs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Перед выполнением теоретических и практических заданий участников Конкурса знакомят </w:t>
      </w:r>
      <w:r>
        <w:rPr>
          <w:rFonts w:ascii="PT Astra Serif" w:hAnsi="PT Astra Serif" w:eastAsia="PT Astra Serif" w:cs="PT Astra Serif" w:eastAsiaTheme="minorHAnsi"/>
          <w:bCs/>
          <w:sz w:val="28"/>
          <w:szCs w:val="28"/>
          <w:lang w:eastAsia="en-US"/>
        </w:rPr>
        <w:t xml:space="preserve">с 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площадкой и условиями проведения заданий. Участникам объявляется контрольное время для выполнения задания, установленно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8"/>
          <w:szCs w:val="28"/>
          <w:lang w:eastAsia="en-US"/>
        </w:rPr>
        <w:t xml:space="preserve">е исходя из сложности и объема выполняемого задания.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tabs>
          <w:tab w:val="left" w:pos="709" w:leader="none"/>
        </w:tabs>
        <w:rPr>
          <w:rFonts w:ascii="PT Astra Serif" w:hAnsi="PT Astra Serif" w:cs="PT Astra Serif"/>
          <w:color w:val="000000" w:themeColor="text1"/>
          <w:spacing w:val="-2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Все командировочные расходы участника межрегионального этапа несет организация, направившая участника.</w:t>
      </w:r>
      <w:r>
        <w:rPr>
          <w:rFonts w:ascii="PT Astra Serif" w:hAnsi="PT Astra Serif" w:cs="PT Astra Serif"/>
          <w:color w:val="000000" w:themeColor="text1"/>
          <w:spacing w:val="-2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pacing w:val="-2"/>
          <w:sz w:val="28"/>
          <w:szCs w:val="28"/>
        </w:rPr>
      </w:r>
    </w:p>
    <w:p>
      <w:pPr>
        <w:ind w:firstLine="709"/>
        <w:jc w:val="both"/>
        <w:spacing w:line="283" w:lineRule="atLeast"/>
        <w:tabs>
          <w:tab w:val="left" w:pos="567" w:leader="none"/>
        </w:tabs>
        <w:rPr>
          <w:rFonts w:ascii="PT Astra Serif" w:hAnsi="PT Astra Serif" w:cs="PT Astra Serif"/>
          <w:color w:val="000000" w:themeColor="text1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 вопросам проведения 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8"/>
          <w:szCs w:val="28"/>
          <w:lang w:eastAsia="en-US"/>
        </w:rPr>
        <w:t xml:space="preserve">межрегионального этапа Конкурса обращаться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по телефону: 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8"/>
          <w:szCs w:val="28"/>
          <w:lang w:eastAsia="en-US"/>
        </w:rPr>
        <w:t xml:space="preserve">8 (3852) 20-55-26, Просекова Мария Семеновна, электронная почта: 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8"/>
          <w:szCs w:val="28"/>
          <w:lang w:val="en-US" w:eastAsia="en-US"/>
        </w:rPr>
        <w:t xml:space="preserve">prosekova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8"/>
          <w:szCs w:val="28"/>
          <w:lang w:eastAsia="en-US"/>
        </w:rPr>
        <w:t xml:space="preserve">@trud.alregn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8"/>
          <w:szCs w:val="28"/>
          <w:lang w:val="en-US" w:eastAsia="en-US"/>
        </w:rPr>
        <w:t xml:space="preserve">ru</w:t>
      </w:r>
      <w:r>
        <w:rPr>
          <w:rFonts w:ascii="PT Astra Serif" w:hAnsi="PT Astra Serif" w:eastAsia="PT Astra Serif" w:cs="PT Astra Serif" w:eastAsiaTheme="minorHAnsi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ind w:firstLine="709"/>
        <w:spacing w:line="283" w:lineRule="atLeast"/>
        <w:rPr>
          <w:rFonts w:ascii="PT Astra Serif" w:hAnsi="PT Astra Serif" w:cs="PT Astra Serif"/>
          <w:color w:val="000000" w:themeColor="text1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5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Верхний колонтитул Знак"/>
    <w:basedOn w:val="831"/>
    <w:link w:val="835"/>
    <w:uiPriority w:val="99"/>
  </w:style>
  <w:style w:type="paragraph" w:styleId="835">
    <w:name w:val="Header"/>
    <w:basedOn w:val="830"/>
    <w:link w:val="834"/>
    <w:uiPriority w:val="99"/>
    <w:pPr>
      <w:tabs>
        <w:tab w:val="center" w:pos="4153" w:leader="none"/>
        <w:tab w:val="right" w:pos="8306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36" w:customStyle="1">
    <w:name w:val="Верхний колонтитул Знак1"/>
    <w:basedOn w:val="83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 w:customStyle="1">
    <w:name w:val="Исполнитель"/>
    <w:basedOn w:val="830"/>
    <w:pPr>
      <w:ind w:left="-108"/>
    </w:pPr>
    <w:rPr>
      <w:sz w:val="20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39" w:customStyle="1">
    <w:name w:val="markedcontent"/>
    <w:basedOn w:val="831"/>
  </w:style>
  <w:style w:type="character" w:styleId="840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1">
    <w:name w:val="Balloon Text"/>
    <w:basedOn w:val="830"/>
    <w:link w:val="842"/>
    <w:uiPriority w:val="99"/>
    <w:semiHidden/>
    <w:unhideWhenUsed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1"/>
    <w:link w:val="841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revision>4</cp:revision>
  <dcterms:created xsi:type="dcterms:W3CDTF">2023-05-03T05:14:00Z</dcterms:created>
  <dcterms:modified xsi:type="dcterms:W3CDTF">2025-02-03T07:03:59Z</dcterms:modified>
</cp:coreProperties>
</file>