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СВЕДЕНИЯ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о количестве субъектов малого и среднего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предпринимательства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ЗАТО Северск Томской области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br/>
        <w:t xml:space="preserve">и об их классификации по видам экономической деятельности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(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по состоянию на 10.01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.2026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firstLine="708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о состоянию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на 10.01.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202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количество субъектов малого и среднего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предпринимательства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ЗАТО Северск Томской области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составляет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firstLine="708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firstLine="708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u w:val="single"/>
          <w:lang w:eastAsia="ru-RU"/>
        </w:rPr>
        <w:t xml:space="preserve">3 758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, в том числе: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</w:r>
    </w:p>
    <w:p>
      <w:pPr>
        <w:ind w:firstLine="708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2 872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- индивидуальных предпринимателей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firstLine="708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886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- юридических лиц.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firstLine="708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</w:r>
    </w:p>
    <w:p>
      <w:pPr>
        <w:ind w:firstLine="708"/>
        <w:jc w:val="center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   Информация по количеству субъектов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МСП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ЗАТО Северск по видам осуществляемой экономической деятельности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tbl>
      <w:tblPr>
        <w:tblStyle w:val="834"/>
        <w:tblW w:w="15021" w:type="dxa"/>
        <w:tblLayout w:type="fixed"/>
        <w:tblLook w:val="04A0" w:firstRow="1" w:lastRow="0" w:firstColumn="1" w:lastColumn="0" w:noHBand="0" w:noVBand="1"/>
      </w:tblPr>
      <w:tblGrid>
        <w:gridCol w:w="1271"/>
        <w:gridCol w:w="10351"/>
        <w:gridCol w:w="3399"/>
      </w:tblGrid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Код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ОКВЭД-2*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экономической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деятельности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субъекта МСП*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lang w:eastAsia="ru-RU"/>
              </w:rPr>
              <w:t xml:space="preserve">Количество субъектов МСП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lang w:eastAsia="ru-RU"/>
              </w:rPr>
              <w:t xml:space="preserve">, осуществляемых данный вид деятельности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lang w:eastAsia="ru-RU"/>
              </w:rPr>
            </w:r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01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8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Растениеводство и животноводство, охота и предоставление соответствующих услуг в этих областях</w:t>
              </w:r>
            </w:hyperlink>
            <w: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11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02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9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Лесоводство и лесозаготовки</w:t>
              </w:r>
            </w:hyperlink>
            <w: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13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03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10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Рыболовство и рыбоводство</w:t>
              </w:r>
            </w:hyperlink>
            <w: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2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05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11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Добыча угля</w:t>
              </w:r>
            </w:hyperlink>
            <w: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-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06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12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Добыча нефти и природного газа</w:t>
              </w:r>
            </w:hyperlink>
            <w: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-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07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13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Добыча металлических руд</w:t>
              </w:r>
            </w:hyperlink>
            <w: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-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08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14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Добыча прочих полезных ископаемых</w:t>
              </w:r>
            </w:hyperlink>
            <w: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Symbol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2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09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15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Предоставление услуг в области добычи полезных ископаемых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2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16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Производство пищевых продуктов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86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17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Производство напитков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3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18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Производство табачных изделий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-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19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Производство текстильных изделий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5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20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Производство одежды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23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21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Производство кожи и изделий из кожи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-</w:t>
            </w:r>
            <w:r/>
            <w:r/>
          </w:p>
        </w:tc>
      </w:tr>
      <w:tr>
        <w:tblPrEx/>
        <w:trPr>
          <w:trHeight w:val="566"/>
        </w:trPr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22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Обработка древесины и производство изделий из дерева и пробки, кроме мебели, производство изделий из соломки и материалов для плетения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21</w:t>
            </w:r>
            <w:r/>
            <w:r/>
          </w:p>
        </w:tc>
      </w:tr>
      <w:tr>
        <w:tblPrEx/>
        <w:trPr>
          <w:trHeight w:val="293"/>
        </w:trPr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23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Производство бумаги и бумажных изделий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-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24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Деятельность полиграфическая и копирование носителей информации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18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25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Производство кокса и нефтепродуктов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3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26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Производство химических веществ и химических продуктов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11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27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Производство лекарственных средств и материалов, применяемых в медицинских целях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-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28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Производство резиновых и пластмассовых изделий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9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29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Производство прочей неметаллической минеральной продукции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9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30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Производство металлургическое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-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Производство готовых металлических изделий, кроме машин и оборудования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48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31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Производство компьютеров, электронных и оптических изделий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4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Производство электрического оборудования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7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Производство машин и оборудования, не включенных в другие группировки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Производство автотранспортных средств, прицепов и полуприцепов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-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Производство прочих транспортных средств и оборудования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4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Производство мебели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31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Производство прочих готовых изделий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14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Ремонт и монтаж машин и оборудования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47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32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Обеспечение электрической энергией, газом и паром; кондиционирование воздуха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6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Забор, очистка и распределение воды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Сбор и обработка сточных вод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2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Сбор, обработка и утилизация отходов; обработка вторичного сырья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13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Предоставление услуг в области ликвидации последствий загрязнений и прочих услуг, связанных с удалением отходов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-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Строительство зданий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94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42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Строительство инженерных сооружений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18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43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Работы строительные специализированные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210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Торговля оптовая и розничная автотранспортными средствами и мотоциклами и их ремонт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135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46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Торговля оптовая, кроме оптовой торговли автотранспортными средствами и мотоциклами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155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47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Торговля розничная, кроме торговли автотранспортными средствами и мотоциклами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870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49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сухопутного и трубопроводного транспорта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251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водного транспорта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2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51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воздушного и космического транспорта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-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52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Складское хозяйство и вспомогательная транспортная деятельность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32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почтовой связи и курьерская деятельность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14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55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по предоставлению мест для временного проживания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6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56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по предоставлению продуктов питания и напитков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141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58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издательская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2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59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Производство кинофильмов, видеофильмов и телевизионных программ, издание звукозаписей и нот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14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60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pStyle w:val="836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33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Деятельность в области телевизионного и радиовещания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4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61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в сфере телекоммуникаций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2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62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Разработка компьютерного программного обеспечения, консультационные услуги в данной области и другие сопутствующие услуги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129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63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в области информационных технологий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42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64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по предоставлению финансовых услуг, кроме услуг по страхованию и пенсионному обеспечению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7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65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Страхование, перестрахование, деятельность негосударственных пенсионных фондов, кроме обязательного социального обеспечения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-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66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u w:val="single"/>
                <w:lang w:eastAsia="ru-RU"/>
              </w:rPr>
            </w:pPr>
            <w:r/>
            <w:hyperlink r:id="rId34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Деятельность вспомогательная в сфере финансовых услуг и страхования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u w:val="singl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u w:val="single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15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68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Операции с недвижимым имуществом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255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69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в области права и бухгалтерского учета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86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70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головных офисов; консультирование по вопросам управления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53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71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в области архитектуры и инженерно-технического проектирования; технических испытаний, исследований и анализа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46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72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Научные исследования и разработки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14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73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рекламная и исследование конъюнктуры рынка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73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74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35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Деятельность профессиональная научная и техническая прочая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61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75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ветеринарная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8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77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Аренда и лизинг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30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по трудоустройству и подбору персонала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5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79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36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Деятельность туристических агентств и прочих организаций, предоставляющих услуги в сфере туризма</w:t>
              </w:r>
            </w:hyperlink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31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pStyle w:val="836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37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Деятельность по обеспечению безопасности и проведению расследований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17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81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по обслуживанию зданий и территорий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22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82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административно-хозяйственная, вспомогательная деятельность по обеспечению функционирования организации, деятельность по предоставлению прочих вспомогательных услуг для бизнеса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34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84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pStyle w:val="836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38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Деятельность органов государственного управления по обеспечению военной безопасности, обязательному социальному обеспечению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85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Образование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79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86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в области здравоохранения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53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87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39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Деятельность по уходу с обеспечением проживания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88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pStyle w:val="836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40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Предоставление социальных услуг без обеспечения проживания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15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pStyle w:val="836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41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Деятельность творческая, деятельность в области искусства и организации развлечений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18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91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библиотек, архивов, музеев и прочих объектов культуры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92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pStyle w:val="836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42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Деятельность по организации и проведению азартных игр и заключению пари, по организации и проведению лотерей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93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в области спорта, отдыха и развлечений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73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94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pStyle w:val="836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43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Деятельность общественных организаций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-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pStyle w:val="836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44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Ремонт компьютеров, предметов личного потребления и хозяйственно-бытового назначения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68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96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pStyle w:val="836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45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Деятельность по предоставлению прочих персональных услуг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172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97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pStyle w:val="836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46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Деятельность домашних хозяйств с наемными работниками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2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98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pStyle w:val="836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/>
            <w:hyperlink r:id="rId47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Деятельность недифференцированная частных домашних хозяйств по производству товаров и предоставлению услуг для собственного потребления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-</w:t>
            </w:r>
            <w:r/>
            <w:r/>
          </w:p>
        </w:tc>
      </w:tr>
      <w:tr>
        <w:tblPrEx/>
        <w:trPr/>
        <w:tc>
          <w:tcPr>
            <w:tcW w:w="12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99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0351" w:type="dxa"/>
            <w:textDirection w:val="lrTb"/>
            <w:noWrap w:val="false"/>
          </w:tcPr>
          <w:p>
            <w:pPr>
              <w:pStyle w:val="836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Деятельность экстерриториальных организаций и органов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339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-</w:t>
            </w:r>
            <w:r/>
            <w:r/>
          </w:p>
        </w:tc>
      </w:tr>
    </w:tbl>
    <w:p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spacing w:after="0" w:line="240" w:lineRule="auto"/>
        <w:rPr>
          <w:rStyle w:val="833"/>
          <w:rFonts w:ascii="Times New Roman" w:hAnsi="Times New Roman" w:cs="Times New Roman"/>
          <w:color w:val="000000"/>
          <w:spacing w:val="2"/>
          <w:u w:val="none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 xml:space="preserve">* </w:t>
      </w:r>
      <w:r>
        <w:rPr>
          <w:rFonts w:ascii="Times New Roman" w:hAnsi="Times New Roman" w:cs="Times New Roman"/>
          <w:color w:val="000000"/>
        </w:rPr>
        <w:t xml:space="preserve">в соответствии с Общероссийским классификатором </w:t>
      </w:r>
      <w:r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видов экономической деятельности (ОКВЭД 2) ОК 029-2014 (КДЕС Ред.2), принятым и введенным в действие приказом </w:t>
      </w:r>
      <w:r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Росстандарта</w:t>
      </w:r>
      <w:r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 </w:t>
      </w:r>
      <w:hyperlink r:id="rId48" w:tooltip="http://docs.cntd.ru/document/499092012" w:history="1">
        <w:r>
          <w:rPr>
            <w:rStyle w:val="833"/>
            <w:rFonts w:ascii="Times New Roman" w:hAnsi="Times New Roman" w:cs="Times New Roman"/>
            <w:color w:val="000000"/>
            <w:spacing w:val="2"/>
            <w:u w:val="none"/>
            <w:shd w:val="clear" w:color="auto" w:fill="ffffff"/>
          </w:rPr>
          <w:t xml:space="preserve">от 31.01.2014 № 14-ст</w:t>
        </w:r>
      </w:hyperlink>
      <w:r>
        <w:rPr>
          <w:rStyle w:val="833"/>
          <w:rFonts w:ascii="Times New Roman" w:hAnsi="Times New Roman" w:cs="Times New Roman"/>
          <w:color w:val="000000"/>
          <w:spacing w:val="2"/>
          <w:u w:val="none"/>
          <w:shd w:val="clear" w:color="auto" w:fill="ffffff"/>
        </w:rPr>
      </w:r>
      <w:r>
        <w:rPr>
          <w:rStyle w:val="833"/>
          <w:rFonts w:ascii="Times New Roman" w:hAnsi="Times New Roman" w:cs="Times New Roman"/>
          <w:color w:val="000000"/>
          <w:spacing w:val="2"/>
          <w:u w:val="none"/>
          <w:shd w:val="clear" w:color="auto" w:fill="ffffff"/>
        </w:rPr>
      </w:r>
    </w:p>
    <w:p>
      <w:pPr>
        <w:spacing w:after="0" w:line="240" w:lineRule="auto"/>
        <w:rPr>
          <w:rStyle w:val="833"/>
          <w:rFonts w:ascii="Times New Roman" w:hAnsi="Times New Roman" w:cs="Times New Roman"/>
          <w:color w:val="000000"/>
          <w:spacing w:val="2"/>
          <w:u w:val="none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2"/>
          <w:u w:val="none"/>
          <w:shd w:val="clear" w:color="auto" w:fill="ffffff"/>
        </w:rPr>
      </w:r>
      <w:r>
        <w:rPr>
          <w:rStyle w:val="833"/>
          <w:rFonts w:ascii="Times New Roman" w:hAnsi="Times New Roman" w:cs="Times New Roman"/>
          <w:color w:val="000000"/>
          <w:spacing w:val="2"/>
          <w:u w:val="none"/>
          <w:shd w:val="clear" w:color="auto" w:fill="ffffff"/>
        </w:rPr>
      </w:r>
      <w:r>
        <w:rPr>
          <w:rStyle w:val="833"/>
          <w:rFonts w:ascii="Times New Roman" w:hAnsi="Times New Roman" w:cs="Times New Roman"/>
          <w:color w:val="000000"/>
          <w:spacing w:val="2"/>
          <w:u w:val="none"/>
          <w:shd w:val="clear" w:color="auto" w:fill="ffffff"/>
        </w:rPr>
      </w:r>
    </w:p>
    <w:p>
      <w:pPr>
        <w:spacing w:after="0" w:line="240" w:lineRule="auto"/>
        <w:rPr>
          <w:rStyle w:val="833"/>
          <w:rFonts w:ascii="Times New Roman" w:hAnsi="Times New Roman" w:cs="Times New Roman"/>
          <w:color w:val="000000"/>
          <w:spacing w:val="2"/>
          <w:u w:val="none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2"/>
          <w:u w:val="none"/>
          <w:shd w:val="clear" w:color="auto" w:fill="ffffff"/>
        </w:rPr>
      </w:r>
      <w:r>
        <w:rPr>
          <w:rStyle w:val="833"/>
          <w:rFonts w:ascii="Times New Roman" w:hAnsi="Times New Roman" w:cs="Times New Roman"/>
          <w:color w:val="000000"/>
          <w:spacing w:val="2"/>
          <w:u w:val="none"/>
          <w:shd w:val="clear" w:color="auto" w:fill="ffffff"/>
        </w:rPr>
      </w:r>
      <w:r>
        <w:rPr>
          <w:rStyle w:val="833"/>
          <w:rFonts w:ascii="Times New Roman" w:hAnsi="Times New Roman" w:cs="Times New Roman"/>
          <w:color w:val="000000"/>
          <w:spacing w:val="2"/>
          <w:u w:val="none"/>
          <w:shd w:val="clear" w:color="auto" w:fill="ffffff"/>
        </w:rPr>
      </w:r>
    </w:p>
    <w:sectPr>
      <w:footnotePr/>
      <w:endnotePr/>
      <w:type w:val="nextPage"/>
      <w:pgSz w:w="16838" w:h="11906" w:orient="landscape"/>
      <w:pgMar w:top="709" w:right="851" w:bottom="142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29"/>
    <w:next w:val="829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0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29"/>
    <w:next w:val="829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0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29"/>
    <w:next w:val="829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0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29"/>
    <w:next w:val="829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0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29"/>
    <w:next w:val="829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0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29"/>
    <w:next w:val="829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0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29"/>
    <w:next w:val="829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0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29"/>
    <w:next w:val="829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0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29"/>
    <w:next w:val="829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0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Title"/>
    <w:basedOn w:val="829"/>
    <w:next w:val="829"/>
    <w:link w:val="67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4">
    <w:name w:val="Title Char"/>
    <w:basedOn w:val="830"/>
    <w:link w:val="673"/>
    <w:uiPriority w:val="10"/>
    <w:rPr>
      <w:sz w:val="48"/>
      <w:szCs w:val="48"/>
    </w:rPr>
  </w:style>
  <w:style w:type="paragraph" w:styleId="675">
    <w:name w:val="Subtitle"/>
    <w:basedOn w:val="829"/>
    <w:next w:val="829"/>
    <w:link w:val="676"/>
    <w:uiPriority w:val="11"/>
    <w:qFormat/>
    <w:pPr>
      <w:spacing w:before="200" w:after="200"/>
    </w:pPr>
    <w:rPr>
      <w:sz w:val="24"/>
      <w:szCs w:val="24"/>
    </w:rPr>
  </w:style>
  <w:style w:type="character" w:styleId="676">
    <w:name w:val="Subtitle Char"/>
    <w:basedOn w:val="830"/>
    <w:link w:val="675"/>
    <w:uiPriority w:val="11"/>
    <w:rPr>
      <w:sz w:val="24"/>
      <w:szCs w:val="24"/>
    </w:rPr>
  </w:style>
  <w:style w:type="paragraph" w:styleId="677">
    <w:name w:val="Quote"/>
    <w:basedOn w:val="829"/>
    <w:next w:val="829"/>
    <w:link w:val="678"/>
    <w:uiPriority w:val="29"/>
    <w:qFormat/>
    <w:pPr>
      <w:ind w:left="720" w:right="720"/>
    </w:pPr>
    <w:rPr>
      <w:i/>
    </w:rPr>
  </w:style>
  <w:style w:type="character" w:styleId="678">
    <w:name w:val="Quote Char"/>
    <w:link w:val="677"/>
    <w:uiPriority w:val="29"/>
    <w:rPr>
      <w:i/>
    </w:rPr>
  </w:style>
  <w:style w:type="paragraph" w:styleId="679">
    <w:name w:val="Intense Quote"/>
    <w:basedOn w:val="829"/>
    <w:next w:val="829"/>
    <w:link w:val="68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0">
    <w:name w:val="Intense Quote Char"/>
    <w:link w:val="679"/>
    <w:uiPriority w:val="30"/>
    <w:rPr>
      <w:i/>
    </w:rPr>
  </w:style>
  <w:style w:type="paragraph" w:styleId="681">
    <w:name w:val="Header"/>
    <w:basedOn w:val="829"/>
    <w:link w:val="6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2">
    <w:name w:val="Header Char"/>
    <w:basedOn w:val="830"/>
    <w:link w:val="681"/>
    <w:uiPriority w:val="99"/>
  </w:style>
  <w:style w:type="paragraph" w:styleId="683">
    <w:name w:val="Footer"/>
    <w:basedOn w:val="829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Footer Char"/>
    <w:basedOn w:val="830"/>
    <w:link w:val="683"/>
    <w:uiPriority w:val="99"/>
  </w:style>
  <w:style w:type="paragraph" w:styleId="685">
    <w:name w:val="Caption"/>
    <w:basedOn w:val="829"/>
    <w:next w:val="829"/>
    <w:link w:val="68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6">
    <w:name w:val="Caption Char"/>
    <w:basedOn w:val="830"/>
    <w:link w:val="685"/>
    <w:uiPriority w:val="35"/>
    <w:rPr>
      <w:b/>
      <w:bCs/>
      <w:color w:val="4f81bd" w:themeColor="accent1"/>
      <w:sz w:val="18"/>
      <w:szCs w:val="18"/>
    </w:rPr>
  </w:style>
  <w:style w:type="table" w:styleId="687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9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0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4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5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1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2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3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86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87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88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89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0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1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3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4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5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6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7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8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0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1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2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3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4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5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2">
    <w:name w:val="footnote text"/>
    <w:basedOn w:val="829"/>
    <w:link w:val="813"/>
    <w:uiPriority w:val="99"/>
    <w:semiHidden/>
    <w:unhideWhenUsed/>
    <w:pPr>
      <w:spacing w:after="40" w:line="240" w:lineRule="auto"/>
    </w:pPr>
    <w:rPr>
      <w:sz w:val="18"/>
    </w:rPr>
  </w:style>
  <w:style w:type="character" w:styleId="813">
    <w:name w:val="Footnote Text Char"/>
    <w:link w:val="812"/>
    <w:uiPriority w:val="99"/>
    <w:rPr>
      <w:sz w:val="18"/>
    </w:rPr>
  </w:style>
  <w:style w:type="character" w:styleId="814">
    <w:name w:val="footnote reference"/>
    <w:basedOn w:val="830"/>
    <w:uiPriority w:val="99"/>
    <w:unhideWhenUsed/>
    <w:rPr>
      <w:vertAlign w:val="superscript"/>
    </w:rPr>
  </w:style>
  <w:style w:type="paragraph" w:styleId="815">
    <w:name w:val="endnote text"/>
    <w:basedOn w:val="829"/>
    <w:link w:val="816"/>
    <w:uiPriority w:val="99"/>
    <w:semiHidden/>
    <w:unhideWhenUsed/>
    <w:pPr>
      <w:spacing w:after="0" w:line="240" w:lineRule="auto"/>
    </w:pPr>
    <w:rPr>
      <w:sz w:val="20"/>
    </w:rPr>
  </w:style>
  <w:style w:type="character" w:styleId="816">
    <w:name w:val="Endnote Text Char"/>
    <w:link w:val="815"/>
    <w:uiPriority w:val="99"/>
    <w:rPr>
      <w:sz w:val="20"/>
    </w:rPr>
  </w:style>
  <w:style w:type="character" w:styleId="817">
    <w:name w:val="endnote reference"/>
    <w:basedOn w:val="830"/>
    <w:uiPriority w:val="99"/>
    <w:semiHidden/>
    <w:unhideWhenUsed/>
    <w:rPr>
      <w:vertAlign w:val="superscript"/>
    </w:rPr>
  </w:style>
  <w:style w:type="paragraph" w:styleId="818">
    <w:name w:val="toc 1"/>
    <w:basedOn w:val="829"/>
    <w:next w:val="829"/>
    <w:uiPriority w:val="39"/>
    <w:unhideWhenUsed/>
    <w:pPr>
      <w:ind w:left="0" w:right="0" w:firstLine="0"/>
      <w:spacing w:after="57"/>
    </w:pPr>
  </w:style>
  <w:style w:type="paragraph" w:styleId="819">
    <w:name w:val="toc 2"/>
    <w:basedOn w:val="829"/>
    <w:next w:val="829"/>
    <w:uiPriority w:val="39"/>
    <w:unhideWhenUsed/>
    <w:pPr>
      <w:ind w:left="283" w:right="0" w:firstLine="0"/>
      <w:spacing w:after="57"/>
    </w:pPr>
  </w:style>
  <w:style w:type="paragraph" w:styleId="820">
    <w:name w:val="toc 3"/>
    <w:basedOn w:val="829"/>
    <w:next w:val="829"/>
    <w:uiPriority w:val="39"/>
    <w:unhideWhenUsed/>
    <w:pPr>
      <w:ind w:left="567" w:right="0" w:firstLine="0"/>
      <w:spacing w:after="57"/>
    </w:pPr>
  </w:style>
  <w:style w:type="paragraph" w:styleId="821">
    <w:name w:val="toc 4"/>
    <w:basedOn w:val="829"/>
    <w:next w:val="829"/>
    <w:uiPriority w:val="39"/>
    <w:unhideWhenUsed/>
    <w:pPr>
      <w:ind w:left="850" w:right="0" w:firstLine="0"/>
      <w:spacing w:after="57"/>
    </w:pPr>
  </w:style>
  <w:style w:type="paragraph" w:styleId="822">
    <w:name w:val="toc 5"/>
    <w:basedOn w:val="829"/>
    <w:next w:val="829"/>
    <w:uiPriority w:val="39"/>
    <w:unhideWhenUsed/>
    <w:pPr>
      <w:ind w:left="1134" w:right="0" w:firstLine="0"/>
      <w:spacing w:after="57"/>
    </w:pPr>
  </w:style>
  <w:style w:type="paragraph" w:styleId="823">
    <w:name w:val="toc 6"/>
    <w:basedOn w:val="829"/>
    <w:next w:val="829"/>
    <w:uiPriority w:val="39"/>
    <w:unhideWhenUsed/>
    <w:pPr>
      <w:ind w:left="1417" w:right="0" w:firstLine="0"/>
      <w:spacing w:after="57"/>
    </w:pPr>
  </w:style>
  <w:style w:type="paragraph" w:styleId="824">
    <w:name w:val="toc 7"/>
    <w:basedOn w:val="829"/>
    <w:next w:val="829"/>
    <w:uiPriority w:val="39"/>
    <w:unhideWhenUsed/>
    <w:pPr>
      <w:ind w:left="1701" w:right="0" w:firstLine="0"/>
      <w:spacing w:after="57"/>
    </w:pPr>
  </w:style>
  <w:style w:type="paragraph" w:styleId="825">
    <w:name w:val="toc 8"/>
    <w:basedOn w:val="829"/>
    <w:next w:val="829"/>
    <w:uiPriority w:val="39"/>
    <w:unhideWhenUsed/>
    <w:pPr>
      <w:ind w:left="1984" w:right="0" w:firstLine="0"/>
      <w:spacing w:after="57"/>
    </w:pPr>
  </w:style>
  <w:style w:type="paragraph" w:styleId="826">
    <w:name w:val="toc 9"/>
    <w:basedOn w:val="829"/>
    <w:next w:val="829"/>
    <w:uiPriority w:val="39"/>
    <w:unhideWhenUsed/>
    <w:pPr>
      <w:ind w:left="2268" w:right="0" w:firstLine="0"/>
      <w:spacing w:after="57"/>
    </w:pPr>
  </w:style>
  <w:style w:type="paragraph" w:styleId="827">
    <w:name w:val="TOC Heading"/>
    <w:uiPriority w:val="39"/>
    <w:unhideWhenUsed/>
  </w:style>
  <w:style w:type="paragraph" w:styleId="828">
    <w:name w:val="table of figures"/>
    <w:basedOn w:val="829"/>
    <w:next w:val="829"/>
    <w:uiPriority w:val="99"/>
    <w:unhideWhenUsed/>
    <w:pPr>
      <w:spacing w:after="0" w:afterAutospacing="0"/>
    </w:pPr>
  </w:style>
  <w:style w:type="paragraph" w:styleId="829" w:default="1">
    <w:name w:val="Normal"/>
    <w:qFormat/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>
    <w:name w:val="Hyperlink"/>
    <w:basedOn w:val="830"/>
    <w:uiPriority w:val="99"/>
    <w:semiHidden/>
    <w:unhideWhenUsed/>
    <w:rPr>
      <w:color w:val="0000ff"/>
      <w:u w:val="single"/>
    </w:rPr>
  </w:style>
  <w:style w:type="table" w:styleId="834">
    <w:name w:val="Table Grid"/>
    <w:basedOn w:val="83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35">
    <w:name w:val="List Paragraph"/>
    <w:basedOn w:val="829"/>
    <w:uiPriority w:val="34"/>
    <w:qFormat/>
    <w:pPr>
      <w:contextualSpacing/>
      <w:ind w:left="720"/>
    </w:pPr>
  </w:style>
  <w:style w:type="paragraph" w:styleId="836">
    <w:name w:val="No Spacing"/>
    <w:uiPriority w:val="1"/>
    <w:qFormat/>
    <w:pPr>
      <w:spacing w:after="0" w:line="240" w:lineRule="auto"/>
    </w:pPr>
  </w:style>
  <w:style w:type="paragraph" w:styleId="837">
    <w:name w:val="Balloon Text"/>
    <w:basedOn w:val="829"/>
    <w:link w:val="83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8" w:customStyle="1">
    <w:name w:val="Текст выноски Знак"/>
    <w:basedOn w:val="830"/>
    <w:link w:val="837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9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0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1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2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3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4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5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6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7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8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9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0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1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2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3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4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5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6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7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8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9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0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1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2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3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4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5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6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7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8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9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0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1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2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3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4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5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6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7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8" Type="http://schemas.openxmlformats.org/officeDocument/2006/relationships/hyperlink" Target="http://docs.cntd.ru/document/499092012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rodina_ns</cp:lastModifiedBy>
  <cp:revision>5</cp:revision>
  <dcterms:created xsi:type="dcterms:W3CDTF">2025-01-17T09:18:00Z</dcterms:created>
  <dcterms:modified xsi:type="dcterms:W3CDTF">2026-06-19T03:09:06Z</dcterms:modified>
</cp:coreProperties>
</file>